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EA" w:rsidRDefault="00BB7BD0" w:rsidP="00A87B85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VOTO PARTICULAR</w:t>
      </w:r>
      <w:r w:rsidR="00935DFA">
        <w:rPr>
          <w:rFonts w:ascii="Palatino Linotype" w:hAnsi="Palatino Linotype" w:cs="Arial"/>
          <w:b/>
        </w:rPr>
        <w:t xml:space="preserve"> </w:t>
      </w:r>
      <w:r w:rsidR="001E6EEA" w:rsidRPr="0007653D">
        <w:rPr>
          <w:rFonts w:ascii="Palatino Linotype" w:hAnsi="Palatino Linotype" w:cs="Arial"/>
          <w:b/>
        </w:rPr>
        <w:t xml:space="preserve">QUE FORMULA LA COMISIONADA EVA ABAID YAPUR, EN RELACIÓN CON LA RESOLUCIÓN DICTADA POR EL PLENO DEL INSTITUTO DE TRANSPARENCIA, ACCESO A LA INFORMACIÓN PÚBLICA Y PROTECCIÓN DE DATOS PERSONALES DEL ESTADO DE MÉXICO Y MUNICIPIOS, </w:t>
      </w:r>
      <w:r w:rsidR="001E6EEA" w:rsidRPr="00D9554C">
        <w:rPr>
          <w:rFonts w:ascii="Palatino Linotype" w:hAnsi="Palatino Linotype" w:cs="Arial"/>
          <w:b/>
        </w:rPr>
        <w:t xml:space="preserve">EN LA </w:t>
      </w:r>
      <w:r>
        <w:rPr>
          <w:rFonts w:ascii="Palatino Linotype" w:hAnsi="Palatino Linotype" w:cs="Arial"/>
          <w:b/>
        </w:rPr>
        <w:t xml:space="preserve">CUADRAGÉSIMA TERCERA SESIÓN </w:t>
      </w:r>
      <w:r w:rsidR="004B6330">
        <w:rPr>
          <w:rFonts w:ascii="Palatino Linotype" w:hAnsi="Palatino Linotype" w:cs="Arial"/>
          <w:b/>
        </w:rPr>
        <w:t xml:space="preserve">ORDINARIA DE </w:t>
      </w:r>
      <w:r>
        <w:rPr>
          <w:rFonts w:ascii="Palatino Linotype" w:hAnsi="Palatino Linotype" w:cs="Arial"/>
          <w:b/>
        </w:rPr>
        <w:t xml:space="preserve">VEINTIDÓS </w:t>
      </w:r>
      <w:r w:rsidR="001E6EEA">
        <w:rPr>
          <w:rFonts w:ascii="Palatino Linotype" w:hAnsi="Palatino Linotype" w:cs="Arial"/>
          <w:b/>
        </w:rPr>
        <w:t xml:space="preserve">DE </w:t>
      </w:r>
      <w:r>
        <w:rPr>
          <w:rFonts w:ascii="Palatino Linotype" w:hAnsi="Palatino Linotype" w:cs="Arial"/>
          <w:b/>
        </w:rPr>
        <w:t xml:space="preserve">NOVIEMBRE </w:t>
      </w:r>
      <w:r w:rsidR="001E6EEA">
        <w:rPr>
          <w:rFonts w:ascii="Palatino Linotype" w:hAnsi="Palatino Linotype" w:cs="Arial"/>
          <w:b/>
        </w:rPr>
        <w:t>DE DOS MIL DIECIOCHO, E</w:t>
      </w:r>
      <w:r>
        <w:rPr>
          <w:rFonts w:ascii="Palatino Linotype" w:hAnsi="Palatino Linotype" w:cs="Arial"/>
          <w:b/>
        </w:rPr>
        <w:t xml:space="preserve">N </w:t>
      </w:r>
      <w:r w:rsidR="00237B02">
        <w:rPr>
          <w:rFonts w:ascii="Palatino Linotype" w:hAnsi="Palatino Linotype" w:cs="Arial"/>
          <w:b/>
        </w:rPr>
        <w:t>EL</w:t>
      </w:r>
      <w:r w:rsidR="001E6EEA" w:rsidRPr="00D9554C">
        <w:rPr>
          <w:rFonts w:ascii="Palatino Linotype" w:hAnsi="Palatino Linotype" w:cs="Arial"/>
          <w:b/>
        </w:rPr>
        <w:t xml:space="preserve"> RECURSO DE REVISIÓN</w:t>
      </w:r>
      <w:r w:rsidR="00237B02">
        <w:rPr>
          <w:rFonts w:ascii="Palatino Linotype" w:hAnsi="Palatino Linotype" w:cs="Arial"/>
          <w:b/>
        </w:rPr>
        <w:t xml:space="preserve"> 03721</w:t>
      </w:r>
      <w:r w:rsidR="001E6EEA">
        <w:rPr>
          <w:rFonts w:ascii="Palatino Linotype" w:hAnsi="Palatino Linotype" w:cs="Arial"/>
          <w:b/>
        </w:rPr>
        <w:t>/INFOEM/IP/RR/201</w:t>
      </w:r>
      <w:r>
        <w:rPr>
          <w:rFonts w:ascii="Palatino Linotype" w:hAnsi="Palatino Linotype" w:cs="Arial"/>
          <w:b/>
        </w:rPr>
        <w:t>8</w:t>
      </w:r>
      <w:r w:rsidR="00237B02">
        <w:rPr>
          <w:rFonts w:ascii="Palatino Linotype" w:hAnsi="Palatino Linotype" w:cs="Arial"/>
          <w:b/>
        </w:rPr>
        <w:t>.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>Con fundamento en lo dispuesto por el artículo 14</w:t>
      </w:r>
      <w:r w:rsidR="00BB7BD0">
        <w:rPr>
          <w:rFonts w:ascii="Palatino Linotype" w:hAnsi="Palatino Linotype" w:cs="Arial"/>
        </w:rPr>
        <w:t>,</w:t>
      </w:r>
      <w:r w:rsidRPr="002E6BDD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</w:t>
      </w:r>
      <w:r w:rsidR="00BB7BD0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que suscribe</w:t>
      </w:r>
      <w:r w:rsidR="00BB7BD0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 w:rsidR="004B6330"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>VOTO PARTICULAR</w:t>
      </w:r>
      <w:r w:rsidR="004B6330"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</w:rPr>
        <w:t>respect</w:t>
      </w:r>
      <w:r w:rsidR="00BB7BD0">
        <w:rPr>
          <w:rFonts w:ascii="Palatino Linotype" w:hAnsi="Palatino Linotype" w:cs="Arial"/>
        </w:rPr>
        <w:t xml:space="preserve">o de la resolución dictada en </w:t>
      </w:r>
      <w:r w:rsidR="00237B02">
        <w:rPr>
          <w:rFonts w:ascii="Palatino Linotype" w:hAnsi="Palatino Linotype" w:cs="Arial"/>
        </w:rPr>
        <w:t xml:space="preserve">el </w:t>
      </w:r>
      <w:r w:rsidRPr="00E42755">
        <w:rPr>
          <w:rFonts w:ascii="Palatino Linotype" w:hAnsi="Palatino Linotype" w:cs="Arial"/>
        </w:rPr>
        <w:t>recurso de revisión</w:t>
      </w:r>
      <w:r>
        <w:rPr>
          <w:rFonts w:ascii="Palatino Linotype" w:hAnsi="Palatino Linotype" w:cs="Arial"/>
        </w:rPr>
        <w:t xml:space="preserve"> </w:t>
      </w:r>
      <w:r w:rsidR="00237B02">
        <w:rPr>
          <w:rFonts w:ascii="Palatino Linotype" w:hAnsi="Palatino Linotype" w:cs="Arial"/>
          <w:b/>
        </w:rPr>
        <w:t>03721</w:t>
      </w:r>
      <w:r w:rsidR="00BB7BD0">
        <w:rPr>
          <w:rFonts w:ascii="Palatino Linotype" w:hAnsi="Palatino Linotype" w:cs="Arial"/>
          <w:b/>
        </w:rPr>
        <w:t>/INFOEM/IP/RR/2018</w:t>
      </w:r>
      <w:r w:rsidRPr="00B53F0E">
        <w:rPr>
          <w:rFonts w:ascii="Palatino Linotype" w:hAnsi="Palatino Linotype" w:cs="Arial"/>
          <w:b/>
        </w:rPr>
        <w:t xml:space="preserve">, </w:t>
      </w:r>
      <w:r w:rsidRPr="00E42755">
        <w:rPr>
          <w:rFonts w:ascii="Palatino Linotype" w:hAnsi="Palatino Linotype" w:cs="Arial"/>
        </w:rPr>
        <w:t>pronunciada por el Pleno de este Instituto ante el proyecto presen</w:t>
      </w:r>
      <w:r w:rsidR="00BB7BD0">
        <w:rPr>
          <w:rFonts w:ascii="Palatino Linotype" w:hAnsi="Palatino Linotype" w:cs="Arial"/>
        </w:rPr>
        <w:t xml:space="preserve">tado por el </w:t>
      </w:r>
      <w:r w:rsidR="00935DFA">
        <w:rPr>
          <w:rFonts w:ascii="Palatino Linotype" w:hAnsi="Palatino Linotype" w:cs="Arial"/>
        </w:rPr>
        <w:t>Comisionad</w:t>
      </w:r>
      <w:r w:rsidR="00BB7BD0">
        <w:rPr>
          <w:rFonts w:ascii="Palatino Linotype" w:hAnsi="Palatino Linotype" w:cs="Arial"/>
        </w:rPr>
        <w:t>o</w:t>
      </w:r>
      <w:r w:rsidR="00935DFA">
        <w:rPr>
          <w:rFonts w:ascii="Palatino Linotype" w:hAnsi="Palatino Linotype" w:cs="Arial"/>
        </w:rPr>
        <w:t xml:space="preserve"> </w:t>
      </w:r>
      <w:r w:rsidR="00237B02">
        <w:rPr>
          <w:rFonts w:ascii="Palatino Linotype" w:hAnsi="Palatino Linotype" w:cs="Arial"/>
          <w:b/>
          <w:lang w:val="es-MX"/>
        </w:rPr>
        <w:t>LUIS GUSTAVO PARRA NORIEGA</w:t>
      </w:r>
      <w:r w:rsidRPr="00E42755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 w:rsidR="00BB7BD0">
        <w:rPr>
          <w:rFonts w:ascii="Palatino Linotype" w:hAnsi="Palatino Linotype"/>
        </w:rPr>
        <w:t xml:space="preserve"> que la suscrita</w:t>
      </w:r>
      <w:r w:rsidR="004B6330"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compart</w:t>
      </w:r>
      <w:r>
        <w:rPr>
          <w:rFonts w:ascii="Palatino Linotype" w:hAnsi="Palatino Linotype"/>
        </w:rPr>
        <w:t>e</w:t>
      </w:r>
      <w:r w:rsidR="00BB7BD0">
        <w:rPr>
          <w:rFonts w:ascii="Palatino Linotype" w:hAnsi="Palatino Linotype"/>
        </w:rPr>
        <w:t xml:space="preserve"> las razones que motivaron </w:t>
      </w:r>
      <w:r w:rsidR="00237B02">
        <w:rPr>
          <w:rFonts w:ascii="Palatino Linotype" w:hAnsi="Palatino Linotype"/>
        </w:rPr>
        <w:t>el</w:t>
      </w:r>
      <w:r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recu</w:t>
      </w:r>
      <w:r w:rsidR="004B6330">
        <w:rPr>
          <w:rFonts w:ascii="Palatino Linotype" w:hAnsi="Palatino Linotype"/>
        </w:rPr>
        <w:t>rso</w:t>
      </w:r>
      <w:r w:rsidR="00990F3E">
        <w:rPr>
          <w:rFonts w:ascii="Palatino Linotype" w:hAnsi="Palatino Linotype"/>
        </w:rPr>
        <w:t xml:space="preserve"> de revisión; empero estimo</w:t>
      </w:r>
      <w:r w:rsidR="00BB7BD0">
        <w:rPr>
          <w:rFonts w:ascii="Palatino Linotype" w:hAnsi="Palatino Linotype"/>
        </w:rPr>
        <w:t xml:space="preserve"> </w:t>
      </w:r>
      <w:r w:rsidRPr="00D93A88">
        <w:rPr>
          <w:rFonts w:ascii="Palatino Linotype" w:hAnsi="Palatino Linotype"/>
        </w:rPr>
        <w:t>necesario precisar algunas consideraciones de hecho y de derecho</w:t>
      </w:r>
      <w:r>
        <w:rPr>
          <w:rFonts w:ascii="Palatino Linotype" w:hAnsi="Palatino Linotype"/>
        </w:rPr>
        <w:t xml:space="preserve">, </w:t>
      </w:r>
      <w:r w:rsidRPr="003C209F">
        <w:rPr>
          <w:rFonts w:ascii="Palatino Linotype" w:hAnsi="Palatino Linotype" w:cs="Arial"/>
        </w:rPr>
        <w:t>respecto</w:t>
      </w:r>
      <w:r>
        <w:rPr>
          <w:rFonts w:ascii="Palatino Linotype" w:hAnsi="Palatino Linotype"/>
        </w:rPr>
        <w:t xml:space="preserve"> del sentido de la resolución correspondiente</w:t>
      </w:r>
      <w:r w:rsidRPr="00D93A88">
        <w:rPr>
          <w:rFonts w:ascii="Palatino Linotype" w:hAnsi="Palatino Linotype"/>
        </w:rPr>
        <w:t>.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BB7BD0">
        <w:rPr>
          <w:rFonts w:ascii="Palatino Linotype" w:hAnsi="Palatino Linotype"/>
        </w:rPr>
        <w:t>solic</w:t>
      </w:r>
      <w:r w:rsidR="002765E8">
        <w:rPr>
          <w:rFonts w:ascii="Palatino Linotype" w:hAnsi="Palatino Linotype"/>
        </w:rPr>
        <w:t>itó</w:t>
      </w:r>
      <w:r w:rsidR="00BB7BD0">
        <w:rPr>
          <w:rFonts w:ascii="Palatino Linotype" w:hAnsi="Palatino Linotype"/>
        </w:rPr>
        <w:t xml:space="preserve"> a</w:t>
      </w:r>
      <w:r w:rsidR="00237B02">
        <w:rPr>
          <w:rFonts w:ascii="Palatino Linotype" w:hAnsi="Palatino Linotype"/>
        </w:rPr>
        <w:t xml:space="preserve"> </w:t>
      </w:r>
      <w:r w:rsidR="00BB7BD0">
        <w:rPr>
          <w:rFonts w:ascii="Palatino Linotype" w:hAnsi="Palatino Linotype"/>
        </w:rPr>
        <w:t>l</w:t>
      </w:r>
      <w:r w:rsidR="00237B02">
        <w:rPr>
          <w:rFonts w:ascii="Palatino Linotype" w:hAnsi="Palatino Linotype"/>
        </w:rPr>
        <w:t>a</w:t>
      </w:r>
      <w:r w:rsidR="00BB7BD0">
        <w:rPr>
          <w:rFonts w:ascii="Palatino Linotype" w:hAnsi="Palatino Linotype"/>
        </w:rPr>
        <w:t xml:space="preserve"> </w:t>
      </w:r>
      <w:r w:rsidR="00237B02">
        <w:rPr>
          <w:rFonts w:ascii="Palatino Linotype" w:hAnsi="Palatino Linotype"/>
          <w:b/>
        </w:rPr>
        <w:t>Junta de Caminos del Estado de México</w:t>
      </w:r>
      <w:r w:rsidR="00BB7BD0">
        <w:rPr>
          <w:rFonts w:ascii="Palatino Linotype" w:hAnsi="Palatino Linotype"/>
        </w:rPr>
        <w:t xml:space="preserve">, en lo sucesivo </w:t>
      </w:r>
      <w:r w:rsidR="00BB7BD0">
        <w:rPr>
          <w:rFonts w:ascii="Palatino Linotype" w:hAnsi="Palatino Linotype"/>
          <w:b/>
        </w:rPr>
        <w:t xml:space="preserve">EL </w:t>
      </w:r>
      <w:r w:rsidRPr="008A2034"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</w:rPr>
        <w:t xml:space="preserve"> </w:t>
      </w:r>
      <w:r w:rsidRPr="008A2034">
        <w:rPr>
          <w:rFonts w:ascii="Palatino Linotype" w:hAnsi="Palatino Linotype"/>
          <w:b/>
        </w:rPr>
        <w:t>OBLIGADO</w:t>
      </w:r>
      <w:r w:rsidR="00237B02">
        <w:rPr>
          <w:rFonts w:ascii="Palatino Linotype" w:hAnsi="Palatino Linotype"/>
          <w:b/>
        </w:rPr>
        <w:t xml:space="preserve">, </w:t>
      </w:r>
      <w:r w:rsidR="00E90B11">
        <w:rPr>
          <w:rFonts w:ascii="Palatino Linotype" w:hAnsi="Palatino Linotype"/>
          <w:i/>
        </w:rPr>
        <w:t>“</w:t>
      </w:r>
      <w:r w:rsidR="00237B02"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 xml:space="preserve">el documento de recibido y entrega de la obra donde especifiquen las </w:t>
      </w:r>
      <w:r w:rsidR="00237B02"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lastRenderedPageBreak/>
        <w:t>cantidades realmente ejecutadas del contrato descrito a continuación: SCEM-JC-10-AGIS-FM-167-C y la veracidad del acta adjunta</w:t>
      </w:r>
      <w:r w:rsidR="00E90B11"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. “ (Sic)</w:t>
      </w:r>
    </w:p>
    <w:p w:rsidR="00237B02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Bajo ese tenor,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 xml:space="preserve">en su respuesta </w:t>
      </w:r>
      <w:r w:rsidR="00237B02">
        <w:rPr>
          <w:rFonts w:ascii="Palatino Linotype" w:hAnsi="Palatino Linotype"/>
        </w:rPr>
        <w:t xml:space="preserve">adjuntó diversos </w:t>
      </w:r>
      <w:r w:rsidR="002765E8" w:rsidRPr="002765E8">
        <w:rPr>
          <w:rFonts w:ascii="Palatino Linotype" w:hAnsi="Palatino Linotype"/>
        </w:rPr>
        <w:t xml:space="preserve">archivos </w:t>
      </w:r>
      <w:r w:rsidR="002765E8">
        <w:rPr>
          <w:rFonts w:ascii="Palatino Linotype" w:hAnsi="Palatino Linotype"/>
        </w:rPr>
        <w:t>electrónicos</w:t>
      </w:r>
      <w:r w:rsidR="00237B02">
        <w:rPr>
          <w:rFonts w:ascii="Palatino Linotype" w:hAnsi="Palatino Linotype"/>
          <w:b/>
        </w:rPr>
        <w:t xml:space="preserve"> </w:t>
      </w:r>
      <w:r w:rsidR="00237B02" w:rsidRPr="00237B02">
        <w:rPr>
          <w:rFonts w:ascii="Palatino Linotype" w:hAnsi="Palatino Linotype"/>
        </w:rPr>
        <w:t xml:space="preserve">con los que pretendió colmar el derecho de acceso a la información del </w:t>
      </w:r>
      <w:r w:rsidR="0012225F">
        <w:rPr>
          <w:rFonts w:ascii="Palatino Linotype" w:hAnsi="Palatino Linotype"/>
          <w:b/>
        </w:rPr>
        <w:t xml:space="preserve">RECURRENTE, </w:t>
      </w:r>
      <w:r w:rsidR="0012225F">
        <w:rPr>
          <w:rFonts w:ascii="Palatino Linotype" w:hAnsi="Palatino Linotype"/>
        </w:rPr>
        <w:t xml:space="preserve">mismos en los que señaló lo siguiente: </w:t>
      </w:r>
    </w:p>
    <w:p w:rsidR="0012225F" w:rsidRPr="0012225F" w:rsidRDefault="0012225F" w:rsidP="00D43206">
      <w:pPr>
        <w:pStyle w:val="Prrafodelista"/>
        <w:numPr>
          <w:ilvl w:val="0"/>
          <w:numId w:val="3"/>
        </w:numPr>
        <w:tabs>
          <w:tab w:val="left" w:pos="851"/>
        </w:tabs>
        <w:ind w:left="851" w:right="902" w:firstLine="0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Que en relación al primer punto de la solicitud, sobre el documento de recibido y entrega de la obra y las cantidades ejecutadas, se enviaba el Acta de la Entrega y Recepción de la Obra, con número de contrato SCEM-JC-10-AGIS-FM-167-C, así como los anexos que lo integran  la descripción del proyecto, el acumulado de estimaciones contrato original, acumulado de estimaciones convenio adici</w:t>
      </w:r>
      <w:r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 xml:space="preserve">onal y la Póliza de la Fianza. </w:t>
      </w:r>
    </w:p>
    <w:p w:rsidR="0012225F" w:rsidRPr="0012225F" w:rsidRDefault="0012225F" w:rsidP="00D43206">
      <w:pPr>
        <w:pStyle w:val="Prrafodelista"/>
        <w:numPr>
          <w:ilvl w:val="0"/>
          <w:numId w:val="3"/>
        </w:numPr>
        <w:tabs>
          <w:tab w:val="left" w:pos="851"/>
        </w:tabs>
        <w:ind w:left="851" w:right="902" w:firstLine="0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 xml:space="preserve">Que dicha información antes mencionada, fue remitida por las dos unidades administrativas a las que se les fue solicitada por la Unidad de Transparencia. </w:t>
      </w:r>
    </w:p>
    <w:p w:rsidR="0012225F" w:rsidRPr="0012225F" w:rsidRDefault="0012225F" w:rsidP="00D43206">
      <w:pPr>
        <w:pStyle w:val="Prrafodelista"/>
        <w:numPr>
          <w:ilvl w:val="0"/>
          <w:numId w:val="3"/>
        </w:numPr>
        <w:ind w:left="851" w:right="902" w:firstLine="0"/>
        <w:jc w:val="both"/>
        <w:rPr>
          <w:rFonts w:ascii="Palatino Linotype" w:hAnsi="Palatino Linotype"/>
        </w:rPr>
      </w:pPr>
      <w:r w:rsidRPr="0012225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Que en relación a la veracidad del acta adjunta a la solicitud, las dos unidades administrativas a las que se les realizó el requerimiento de información, indicaron que conforme a la Ley de Transparencia y Acceso a la información de Información del estado de México y Municipios no se les establece atribución alguna, derecho o facultad para pronunciarse sobre la veracidad de los documentos y/o información presentada por los particulares.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eastAsia="Arial Unicode MS" w:hAnsi="Palatino Linotype" w:cs="Arial"/>
        </w:rPr>
      </w:pPr>
      <w:r>
        <w:rPr>
          <w:rFonts w:ascii="Palatino Linotype" w:hAnsi="Palatino Linotype" w:cs="Arial"/>
        </w:rPr>
        <w:t>Así, de conformidad con el estudio</w:t>
      </w:r>
      <w:r w:rsidR="00284631">
        <w:rPr>
          <w:rFonts w:ascii="Palatino Linotype" w:hAnsi="Palatino Linotype" w:cs="Arial"/>
        </w:rPr>
        <w:t xml:space="preserve"> de mérito, la Ponencia </w:t>
      </w:r>
      <w:proofErr w:type="spellStart"/>
      <w:r w:rsidR="00284631">
        <w:rPr>
          <w:rFonts w:ascii="Palatino Linotype" w:hAnsi="Palatino Linotype" w:cs="Arial"/>
        </w:rPr>
        <w:t>Resoluto</w:t>
      </w:r>
      <w:r>
        <w:rPr>
          <w:rFonts w:ascii="Palatino Linotype" w:hAnsi="Palatino Linotype" w:cs="Arial"/>
        </w:rPr>
        <w:t>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Pr="00173DDC">
        <w:rPr>
          <w:rFonts w:ascii="Palatino Linotype" w:hAnsi="Palatino Linotype" w:cs="Arial"/>
          <w:b/>
        </w:rPr>
        <w:t>SOBRESEER</w:t>
      </w:r>
      <w:r w:rsidR="00237B02">
        <w:rPr>
          <w:rFonts w:ascii="Palatino Linotype" w:hAnsi="Palatino Linotype" w:cs="Arial"/>
        </w:rPr>
        <w:t xml:space="preserve"> el</w:t>
      </w:r>
      <w:r>
        <w:rPr>
          <w:rFonts w:ascii="Palatino Linotype" w:hAnsi="Palatino Linotype" w:cs="Arial"/>
        </w:rPr>
        <w:t xml:space="preserve"> recurso de revisión,</w:t>
      </w:r>
      <w:r w:rsidR="00A65728" w:rsidRPr="00A65728">
        <w:rPr>
          <w:rFonts w:ascii="Palatino Linotype" w:hAnsi="Palatino Linotype"/>
          <w:szCs w:val="22"/>
        </w:rPr>
        <w:t xml:space="preserve"> </w:t>
      </w:r>
      <w:r w:rsidR="00A65728">
        <w:rPr>
          <w:rFonts w:ascii="Palatino Linotype" w:hAnsi="Palatino Linotype"/>
          <w:szCs w:val="22"/>
        </w:rPr>
        <w:t>de conformidad con el artículo 192, fracción IV</w:t>
      </w:r>
      <w:r>
        <w:rPr>
          <w:rFonts w:ascii="Palatino Linotype" w:hAnsi="Palatino Linotype" w:cs="Arial"/>
        </w:rPr>
        <w:t xml:space="preserve"> </w:t>
      </w:r>
      <w:r w:rsidRPr="000472BE">
        <w:rPr>
          <w:rFonts w:ascii="Palatino Linotype" w:eastAsia="Arial Unicode MS" w:hAnsi="Palatino Linotype" w:cs="Arial"/>
        </w:rPr>
        <w:t>de la Ley de Transparencia y Acceso a la Información Pública del</w:t>
      </w:r>
      <w:r w:rsidR="00A65728">
        <w:rPr>
          <w:rFonts w:ascii="Palatino Linotype" w:eastAsia="Arial Unicode MS" w:hAnsi="Palatino Linotype" w:cs="Arial"/>
        </w:rPr>
        <w:t xml:space="preserve"> Estado de México y Municipios.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consecuencia</w:t>
      </w:r>
      <w:r w:rsidR="0012225F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 xml:space="preserve">se </w:t>
      </w:r>
      <w:r w:rsidR="004B6330">
        <w:rPr>
          <w:rFonts w:ascii="Palatino Linotype" w:hAnsi="Palatino Linotype"/>
        </w:rPr>
        <w:t>reitera que l</w:t>
      </w:r>
      <w:r w:rsidR="002765E8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que suscribe coincide con lo señalado en la resolución en comento, en cuanto a que no resulta necesario examinar el </w:t>
      </w:r>
      <w:r>
        <w:rPr>
          <w:rFonts w:ascii="Palatino Linotype" w:hAnsi="Palatino Linotype" w:cs="Arial"/>
        </w:rPr>
        <w:t>fondo del presente asunto, al actualizarse supuestos normativos que así</w:t>
      </w:r>
      <w:r w:rsidR="004B6330">
        <w:rPr>
          <w:rFonts w:ascii="Palatino Linotype" w:hAnsi="Palatino Linotype" w:cs="Arial"/>
        </w:rPr>
        <w:t xml:space="preserve"> lo refieren; sin embargo, no </w:t>
      </w:r>
      <w:r w:rsidR="00AF5C2F">
        <w:rPr>
          <w:rFonts w:ascii="Palatino Linotype" w:hAnsi="Palatino Linotype" w:cs="Arial"/>
        </w:rPr>
        <w:t xml:space="preserve">se </w:t>
      </w:r>
      <w:r>
        <w:rPr>
          <w:rFonts w:ascii="Palatino Linotype" w:hAnsi="Palatino Linotype" w:cs="Arial"/>
        </w:rPr>
        <w:lastRenderedPageBreak/>
        <w:t xml:space="preserve">comparte el proyecto </w:t>
      </w:r>
      <w:r w:rsidR="002765E8">
        <w:rPr>
          <w:rFonts w:ascii="Palatino Linotype" w:hAnsi="Palatino Linotype" w:cs="Arial"/>
        </w:rPr>
        <w:t>por cuanto a las</w:t>
      </w:r>
      <w:r>
        <w:rPr>
          <w:rFonts w:ascii="Palatino Linotype" w:hAnsi="Palatino Linotype" w:cs="Arial"/>
        </w:rPr>
        <w:t xml:space="preserve"> hipótesis normativas que se actualizan, así como el sentido de la resolución.</w:t>
      </w:r>
    </w:p>
    <w:p w:rsidR="001E6EEA" w:rsidRDefault="001D08B1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t>En ese sentido</w:t>
      </w:r>
      <w:r w:rsidR="002765E8">
        <w:rPr>
          <w:rFonts w:ascii="Palatino Linotype" w:hAnsi="Palatino Linotype" w:cs="Arial"/>
        </w:rPr>
        <w:t>,</w:t>
      </w:r>
      <w:r w:rsidR="001E6EEA">
        <w:rPr>
          <w:rFonts w:ascii="Palatino Linotype" w:hAnsi="Palatino Linotype" w:cs="Arial"/>
        </w:rPr>
        <w:t xml:space="preserve"> contrario</w:t>
      </w:r>
      <w:r w:rsidR="004B6330">
        <w:rPr>
          <w:rFonts w:ascii="Palatino Linotype" w:hAnsi="Palatino Linotype" w:cs="Arial"/>
        </w:rPr>
        <w:t xml:space="preserve"> a lo propuesto en el proyecto</w:t>
      </w:r>
      <w:r>
        <w:rPr>
          <w:rFonts w:ascii="Palatino Linotype" w:hAnsi="Palatino Linotype" w:cs="Arial"/>
        </w:rPr>
        <w:t>,</w:t>
      </w:r>
      <w:r w:rsidR="004B6330">
        <w:rPr>
          <w:rFonts w:ascii="Palatino Linotype" w:hAnsi="Palatino Linotype" w:cs="Arial"/>
        </w:rPr>
        <w:t xml:space="preserve"> </w:t>
      </w:r>
      <w:r w:rsidR="001E6EEA">
        <w:rPr>
          <w:rFonts w:ascii="Palatino Linotype" w:hAnsi="Palatino Linotype"/>
        </w:rPr>
        <w:t xml:space="preserve">el supuesto normativo que se actualiza es el previsto en el </w:t>
      </w:r>
      <w:r w:rsidR="001E6EEA">
        <w:rPr>
          <w:rFonts w:ascii="Palatino Linotype" w:hAnsi="Palatino Linotype" w:cs="Arial"/>
          <w:lang w:eastAsia="es-MX"/>
        </w:rPr>
        <w:t>artículo 191</w:t>
      </w:r>
      <w:r w:rsidR="006763E2">
        <w:rPr>
          <w:rFonts w:ascii="Palatino Linotype" w:hAnsi="Palatino Linotype" w:cs="Arial"/>
          <w:lang w:eastAsia="es-MX"/>
        </w:rPr>
        <w:t>,</w:t>
      </w:r>
      <w:r w:rsidR="001E6EEA" w:rsidRPr="009B7336">
        <w:rPr>
          <w:rFonts w:ascii="Palatino Linotype" w:hAnsi="Palatino Linotype" w:cs="Arial"/>
          <w:lang w:eastAsia="es-MX"/>
        </w:rPr>
        <w:t xml:space="preserve"> </w:t>
      </w:r>
      <w:r w:rsidR="00284631">
        <w:rPr>
          <w:rFonts w:ascii="Palatino Linotype" w:hAnsi="Palatino Linotype" w:cs="Arial"/>
          <w:lang w:eastAsia="es-MX"/>
        </w:rPr>
        <w:t xml:space="preserve">fracción V </w:t>
      </w:r>
      <w:r w:rsidR="001E6EEA">
        <w:rPr>
          <w:rFonts w:ascii="Palatino Linotype" w:hAnsi="Palatino Linotype" w:cs="Arial"/>
          <w:lang w:eastAsia="es-MX"/>
        </w:rPr>
        <w:t>de la Ley de la materia, mismo que señala lo siguiente:</w:t>
      </w:r>
    </w:p>
    <w:p w:rsidR="001E6EEA" w:rsidRPr="007108AB" w:rsidRDefault="001E6EEA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“</w:t>
      </w:r>
      <w:r w:rsidRPr="002765E8">
        <w:rPr>
          <w:rFonts w:ascii="Palatino Linotype" w:hAnsi="Palatino Linotype" w:cs="Arial"/>
          <w:b/>
          <w:i/>
          <w:sz w:val="22"/>
          <w:szCs w:val="22"/>
          <w:lang w:eastAsia="es-MX"/>
        </w:rPr>
        <w:t>Artículo 191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. El recurso será desechado por improcedente cuando: </w:t>
      </w:r>
    </w:p>
    <w:p w:rsidR="001E6EEA" w:rsidRPr="007108AB" w:rsidRDefault="001E6EEA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 </w:t>
      </w:r>
    </w:p>
    <w:p w:rsidR="004B6330" w:rsidRDefault="0012225F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6763E2">
        <w:rPr>
          <w:rFonts w:ascii="Palatino Linotype" w:hAnsi="Palatino Linotype" w:cs="Arial"/>
          <w:b/>
          <w:i/>
          <w:sz w:val="22"/>
          <w:szCs w:val="22"/>
          <w:lang w:eastAsia="es-MX"/>
        </w:rPr>
        <w:t>V</w:t>
      </w:r>
      <w:r w:rsidR="001E6EEA" w:rsidRPr="006763E2">
        <w:rPr>
          <w:rFonts w:ascii="Palatino Linotype" w:hAnsi="Palatino Linotype" w:cs="Arial"/>
          <w:b/>
          <w:i/>
          <w:sz w:val="22"/>
          <w:szCs w:val="22"/>
          <w:lang w:eastAsia="es-MX"/>
        </w:rPr>
        <w:t>.</w:t>
      </w:r>
      <w:r w:rsidR="001E6EEA">
        <w:rPr>
          <w:rFonts w:ascii="Palatino Linotype" w:hAnsi="Palatino Linotype" w:cs="Arial"/>
          <w:i/>
          <w:sz w:val="22"/>
          <w:szCs w:val="22"/>
          <w:lang w:eastAsia="es-MX"/>
        </w:rPr>
        <w:t xml:space="preserve"> </w:t>
      </w:r>
      <w:r w:rsidR="00284631">
        <w:rPr>
          <w:rFonts w:ascii="Palatino Linotype" w:hAnsi="Palatino Linotype" w:cs="Arial"/>
          <w:b/>
          <w:i/>
          <w:sz w:val="22"/>
          <w:szCs w:val="22"/>
          <w:lang w:eastAsia="es-MX"/>
        </w:rPr>
        <w:t>Se impugne la veracidad de la información proporcionada;</w:t>
      </w:r>
    </w:p>
    <w:p w:rsidR="001E6EEA" w:rsidRPr="007108AB" w:rsidRDefault="004B6330" w:rsidP="00284631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="001E6EEA" w:rsidRPr="007108AB">
        <w:rPr>
          <w:rFonts w:ascii="Palatino Linotype" w:hAnsi="Palatino Linotype" w:cs="Arial"/>
          <w:i/>
          <w:sz w:val="22"/>
          <w:szCs w:val="22"/>
          <w:lang w:eastAsia="es-MX"/>
        </w:rPr>
        <w:t>”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A efecto de ilustrar lo anterior, resulta necesario examinar lo manifestado por </w:t>
      </w:r>
      <w:r w:rsidRPr="0020298C">
        <w:rPr>
          <w:rFonts w:ascii="Palatino Linotype" w:hAnsi="Palatino Linotype" w:cs="Arial"/>
          <w:b/>
          <w:lang w:eastAsia="es-MX"/>
        </w:rPr>
        <w:t>EL RECURRENTE</w:t>
      </w:r>
      <w:r>
        <w:rPr>
          <w:rFonts w:ascii="Palatino Linotype" w:hAnsi="Palatino Linotype" w:cs="Arial"/>
          <w:lang w:eastAsia="es-MX"/>
        </w:rPr>
        <w:t xml:space="preserve"> </w:t>
      </w:r>
      <w:r w:rsidR="00976D27">
        <w:rPr>
          <w:rFonts w:ascii="Palatino Linotype" w:hAnsi="Palatino Linotype" w:cs="Arial"/>
          <w:lang w:eastAsia="es-MX"/>
        </w:rPr>
        <w:t xml:space="preserve">tanto en acto impugnado como </w:t>
      </w:r>
      <w:r>
        <w:rPr>
          <w:rFonts w:ascii="Palatino Linotype" w:hAnsi="Palatino Linotype" w:cs="Arial"/>
          <w:lang w:eastAsia="es-MX"/>
        </w:rPr>
        <w:t>en sus razones o motivos de inconformidad</w:t>
      </w:r>
      <w:r w:rsidR="00976D27">
        <w:rPr>
          <w:rFonts w:ascii="Palatino Linotype" w:hAnsi="Palatino Linotype" w:cs="Arial"/>
          <w:lang w:eastAsia="es-MX"/>
        </w:rPr>
        <w:t>, expresó</w:t>
      </w:r>
      <w:r w:rsidRPr="007108AB">
        <w:rPr>
          <w:rFonts w:ascii="Palatino Linotype" w:hAnsi="Palatino Linotype" w:cs="Arial"/>
          <w:lang w:eastAsia="es-MX"/>
        </w:rPr>
        <w:t>:</w:t>
      </w:r>
    </w:p>
    <w:p w:rsidR="002765E8" w:rsidRPr="00E81EB2" w:rsidRDefault="00976D27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976D27">
        <w:rPr>
          <w:rFonts w:ascii="Palatino Linotype" w:hAnsi="Palatino Linotype" w:cs="Arial"/>
          <w:i/>
          <w:sz w:val="22"/>
          <w:szCs w:val="22"/>
        </w:rPr>
        <w:t xml:space="preserve">“REF: Solicitud de aclaración de información. En relación con los Contratos, posibles convenios adicionales, modificatorios y/o autorizaciones de Cesión / Subcontrato, para los contratos y Actas Administrativas de Extinción de Derechos y Obligaciones de contratos </w:t>
      </w:r>
      <w:proofErr w:type="spellStart"/>
      <w:r w:rsidRPr="00976D27">
        <w:rPr>
          <w:rFonts w:ascii="Palatino Linotype" w:hAnsi="Palatino Linotype" w:cs="Arial"/>
          <w:i/>
          <w:sz w:val="22"/>
          <w:szCs w:val="22"/>
        </w:rPr>
        <w:t>Nro</w:t>
      </w:r>
      <w:proofErr w:type="spellEnd"/>
      <w:r w:rsidRPr="00976D27">
        <w:rPr>
          <w:rFonts w:ascii="Palatino Linotype" w:hAnsi="Palatino Linotype" w:cs="Arial"/>
          <w:i/>
          <w:sz w:val="22"/>
          <w:szCs w:val="22"/>
        </w:rPr>
        <w:t xml:space="preserve">: SCEM-JC-10-AGIS-FM-167-C. Les dejamos saber que tenemos en nuestro poder actas de entrega de Recepción Federal de Obra Pública y Actas Administrativas de Extinción de Derechos y Obligaciones, avaladas, firmadas por la JUNTA DE CAMINOS DEL ESTADO DE MEXICO e incluso las copias con que contamos, están notariadas y apostilladas, lo que da fe pública de la documentación. Comparando entre sí estos documentos, se encuentra que difieren en cuanto a la información que reposa en ellos VS copias que ustedes en suministrado en solicitudes; por lo anterior, solicito se me indique cuál de los documentos para cada caso refleja la realidad y veracidad de ejecución, finalización y liquidación real de los Contratos y posibles convenios adicionales o modificatorios y si en los que aplique tuvieron autorización de subcontrato. Los documentos aportados, fueron enviados directamente de </w:t>
      </w:r>
      <w:r w:rsidRPr="00C50BA9">
        <w:rPr>
          <w:rFonts w:ascii="Palatino Linotype" w:hAnsi="Palatino Linotype" w:cs="Arial"/>
          <w:i/>
          <w:sz w:val="22"/>
          <w:szCs w:val="22"/>
          <w:highlight w:val="yellow"/>
        </w:rPr>
        <w:t>EDIFICACIONES TRIVAL SA DE CV</w:t>
      </w:r>
      <w:bookmarkStart w:id="0" w:name="_GoBack"/>
      <w:bookmarkEnd w:id="0"/>
      <w:r w:rsidRPr="00976D27">
        <w:rPr>
          <w:rFonts w:ascii="Palatino Linotype" w:hAnsi="Palatino Linotype" w:cs="Arial"/>
          <w:i/>
          <w:sz w:val="22"/>
          <w:szCs w:val="22"/>
        </w:rPr>
        <w:t xml:space="preserve"> casa matriz en México, están notariados y apostillados, lo que en teoría debería dar fe pública de la </w:t>
      </w:r>
      <w:r w:rsidRPr="00976D27">
        <w:rPr>
          <w:rFonts w:ascii="Palatino Linotype" w:hAnsi="Palatino Linotype" w:cs="Arial"/>
          <w:i/>
          <w:sz w:val="22"/>
          <w:szCs w:val="22"/>
        </w:rPr>
        <w:lastRenderedPageBreak/>
        <w:t>veracidad de la documentación. Anexo la documentación asociada para su respectiva revisión, control y respuesta.”</w:t>
      </w:r>
      <w:r w:rsidR="002765E8" w:rsidRPr="00976D27">
        <w:rPr>
          <w:rFonts w:ascii="Palatino Linotype" w:hAnsi="Palatino Linotype" w:cs="Arial"/>
          <w:i/>
          <w:sz w:val="22"/>
          <w:szCs w:val="22"/>
        </w:rPr>
        <w:t xml:space="preserve"> </w:t>
      </w:r>
      <w:r w:rsidR="002765E8" w:rsidRPr="00E81EB2">
        <w:rPr>
          <w:rFonts w:ascii="Palatino Linotype" w:hAnsi="Palatino Linotype" w:cs="Arial"/>
          <w:i/>
          <w:sz w:val="22"/>
          <w:szCs w:val="22"/>
        </w:rPr>
        <w:t>(</w:t>
      </w:r>
      <w:proofErr w:type="gramStart"/>
      <w:r w:rsidR="002765E8" w:rsidRPr="00E81EB2">
        <w:rPr>
          <w:rFonts w:ascii="Palatino Linotype" w:hAnsi="Palatino Linotype" w:cs="Arial"/>
          <w:i/>
          <w:sz w:val="22"/>
          <w:szCs w:val="22"/>
        </w:rPr>
        <w:t>sic</w:t>
      </w:r>
      <w:proofErr w:type="gramEnd"/>
      <w:r w:rsidR="002765E8" w:rsidRPr="00E81EB2">
        <w:rPr>
          <w:rFonts w:ascii="Palatino Linotype" w:hAnsi="Palatino Linotype" w:cs="Arial"/>
          <w:i/>
          <w:sz w:val="22"/>
          <w:szCs w:val="22"/>
        </w:rPr>
        <w:t>)</w:t>
      </w:r>
    </w:p>
    <w:p w:rsidR="00284631" w:rsidRDefault="00284631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En ese sentido, la que suscribe reitera que comparte las razones y motivos que dieron origen al presente recurso, empero difiero respecto al sentido de la resolución. </w:t>
      </w:r>
    </w:p>
    <w:p w:rsidR="001E6EEA" w:rsidRDefault="00284631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</w:t>
      </w:r>
      <w:r w:rsidR="001E6EEA">
        <w:rPr>
          <w:rFonts w:ascii="Palatino Linotype" w:hAnsi="Palatino Linotype" w:cs="Arial"/>
          <w:lang w:eastAsia="es-MX"/>
        </w:rPr>
        <w:t xml:space="preserve">, </w:t>
      </w:r>
      <w:r>
        <w:rPr>
          <w:rFonts w:ascii="Palatino Linotype" w:hAnsi="Palatino Linotype" w:cs="Arial"/>
          <w:lang w:eastAsia="es-MX"/>
        </w:rPr>
        <w:t>debido a que en las razones y motivos de inconformidad se advierte que l</w:t>
      </w:r>
      <w:r w:rsidR="0028390B">
        <w:rPr>
          <w:rFonts w:ascii="Palatino Linotype" w:hAnsi="Palatino Linotype" w:cs="Arial"/>
          <w:lang w:eastAsia="es-MX"/>
        </w:rPr>
        <w:t>a</w:t>
      </w:r>
      <w:r>
        <w:rPr>
          <w:rFonts w:ascii="Palatino Linotype" w:hAnsi="Palatino Linotype" w:cs="Arial"/>
          <w:lang w:eastAsia="es-MX"/>
        </w:rPr>
        <w:t xml:space="preserve"> particular</w:t>
      </w:r>
      <w:r w:rsidR="00AF5C2F">
        <w:rPr>
          <w:rFonts w:ascii="Palatino Linotype" w:hAnsi="Palatino Linotype" w:cs="Arial"/>
          <w:lang w:eastAsia="es-MX"/>
        </w:rPr>
        <w:t xml:space="preserve"> no externó</w:t>
      </w:r>
      <w:r w:rsidR="0028390B">
        <w:rPr>
          <w:rFonts w:ascii="Palatino Linotype" w:hAnsi="Palatino Linotype" w:cs="Arial"/>
          <w:lang w:eastAsia="es-MX"/>
        </w:rPr>
        <w:t xml:space="preserve"> alguna inconformidad ocasionada por la respuesta otorgada o bien la falta de información tal como lo prevé el artículo 179 de la </w:t>
      </w:r>
      <w:r w:rsidR="001E6EEA" w:rsidRPr="00B918F9">
        <w:rPr>
          <w:rFonts w:ascii="Palatino Linotype" w:hAnsi="Palatino Linotype" w:cs="Arial"/>
        </w:rPr>
        <w:t xml:space="preserve">Ley de </w:t>
      </w:r>
      <w:r w:rsidR="0028390B">
        <w:rPr>
          <w:rFonts w:ascii="Palatino Linotype" w:hAnsi="Palatino Linotype" w:cs="Arial"/>
        </w:rPr>
        <w:t>la materia que establece los supuestos de procedencia de los recursos de revisión, que a la letra dice:</w:t>
      </w:r>
    </w:p>
    <w:p w:rsidR="001E6EEA" w:rsidRDefault="001E6EEA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081AC4">
        <w:rPr>
          <w:rFonts w:ascii="Palatino Linotype" w:hAnsi="Palatino Linotype" w:cs="Arial"/>
          <w:i/>
          <w:sz w:val="22"/>
          <w:szCs w:val="22"/>
        </w:rPr>
        <w:t>“</w:t>
      </w:r>
      <w:r>
        <w:rPr>
          <w:rFonts w:ascii="Palatino Linotype" w:hAnsi="Palatino Linotype" w:cs="Arial"/>
          <w:b/>
          <w:i/>
          <w:sz w:val="22"/>
          <w:szCs w:val="22"/>
        </w:rPr>
        <w:t xml:space="preserve">Artículo </w:t>
      </w:r>
      <w:r w:rsidRPr="00227002">
        <w:rPr>
          <w:rFonts w:ascii="Palatino Linotype" w:hAnsi="Palatino Linotype" w:cs="Arial"/>
          <w:b/>
          <w:i/>
          <w:sz w:val="22"/>
          <w:szCs w:val="22"/>
        </w:rPr>
        <w:t>179</w:t>
      </w:r>
      <w:r w:rsidRPr="00227002">
        <w:rPr>
          <w:rFonts w:ascii="Palatino Linotype" w:hAnsi="Palatino Linotype" w:cs="Arial"/>
          <w:i/>
          <w:sz w:val="22"/>
          <w:szCs w:val="22"/>
        </w:rPr>
        <w:t>. El recurso de revisión es un medio de protección que la Ley otorga a los particulares,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227002">
        <w:rPr>
          <w:rFonts w:ascii="Palatino Linotype" w:hAnsi="Palatino Linotype" w:cs="Arial"/>
          <w:i/>
          <w:sz w:val="22"/>
          <w:szCs w:val="22"/>
        </w:rPr>
        <w:t>para hacer valer su derecho de acceso a la información pública, y procederá en contra de las siguientes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227002">
        <w:rPr>
          <w:rFonts w:ascii="Palatino Linotype" w:hAnsi="Palatino Linotype" w:cs="Arial"/>
          <w:i/>
          <w:sz w:val="22"/>
          <w:szCs w:val="22"/>
        </w:rPr>
        <w:t>causas:</w:t>
      </w:r>
    </w:p>
    <w:p w:rsidR="0028390B" w:rsidRDefault="0028390B" w:rsidP="00A87B8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1E6EEA" w:rsidRPr="00227002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negativa a la información solicitada;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clasificación de la información;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declaración de inexistencia de la información;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declaración de incompetencia por el sujeto obligado;</w:t>
      </w:r>
    </w:p>
    <w:p w:rsidR="001E6EEA" w:rsidRPr="00227002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de información incompleta;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de información que no</w:t>
      </w:r>
      <w:r>
        <w:rPr>
          <w:rFonts w:ascii="Palatino Linotype" w:hAnsi="Palatino Linotype" w:cs="Arial"/>
          <w:i/>
          <w:sz w:val="22"/>
          <w:szCs w:val="22"/>
        </w:rPr>
        <w:t xml:space="preserve"> corresponda con lo solicitado;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falta de respuesta a una solicitud de acceso a la información;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 xml:space="preserve">La notificación, entrega o puesta a disposición de información en una modalidad o </w:t>
      </w:r>
      <w:r>
        <w:rPr>
          <w:rFonts w:ascii="Palatino Linotype" w:hAnsi="Palatino Linotype" w:cs="Arial"/>
          <w:i/>
          <w:sz w:val="22"/>
          <w:szCs w:val="22"/>
        </w:rPr>
        <w:t>formato distinto al solicitado;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entrega o puesta a disposición de información en un formato incomprensible y/o no</w:t>
      </w:r>
      <w:r>
        <w:rPr>
          <w:rFonts w:ascii="Palatino Linotype" w:hAnsi="Palatino Linotype" w:cs="Arial"/>
          <w:i/>
          <w:sz w:val="22"/>
          <w:szCs w:val="22"/>
        </w:rPr>
        <w:t xml:space="preserve"> accesible para el solicitante;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Los costos o tiempos de entrega de la informació</w:t>
      </w:r>
      <w:r>
        <w:rPr>
          <w:rFonts w:ascii="Palatino Linotype" w:hAnsi="Palatino Linotype" w:cs="Arial"/>
          <w:i/>
          <w:sz w:val="22"/>
          <w:szCs w:val="22"/>
        </w:rPr>
        <w:t>n;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falta de trá</w:t>
      </w:r>
      <w:r>
        <w:rPr>
          <w:rFonts w:ascii="Palatino Linotype" w:hAnsi="Palatino Linotype" w:cs="Arial"/>
          <w:i/>
          <w:sz w:val="22"/>
          <w:szCs w:val="22"/>
        </w:rPr>
        <w:t>mite a una solicitud;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negativa a permitir la consulta directa de la informació</w:t>
      </w:r>
      <w:r>
        <w:rPr>
          <w:rFonts w:ascii="Palatino Linotype" w:hAnsi="Palatino Linotype" w:cs="Arial"/>
          <w:i/>
          <w:sz w:val="22"/>
          <w:szCs w:val="22"/>
        </w:rPr>
        <w:t>n;</w:t>
      </w:r>
    </w:p>
    <w:p w:rsidR="001E6EEA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 xml:space="preserve">La falta, deficiencia o insuficiencia de la fundamentación y/o motivación en la respuesta; y </w:t>
      </w:r>
    </w:p>
    <w:p w:rsidR="001E6EEA" w:rsidRPr="00227002" w:rsidRDefault="001E6EEA" w:rsidP="00A87B85">
      <w:pPr>
        <w:pStyle w:val="Prrafodelista"/>
        <w:numPr>
          <w:ilvl w:val="0"/>
          <w:numId w:val="1"/>
        </w:numPr>
        <w:ind w:left="851" w:right="902" w:firstLine="0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227002">
        <w:rPr>
          <w:rFonts w:ascii="Palatino Linotype" w:hAnsi="Palatino Linotype" w:cs="Arial"/>
          <w:i/>
          <w:sz w:val="22"/>
          <w:szCs w:val="22"/>
        </w:rPr>
        <w:t>La orientación a un trámite específico.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28390B" w:rsidRDefault="0028390B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lastRenderedPageBreak/>
        <w:t xml:space="preserve">En ese tenor, se advierte que el particular dudó de la veracidad de la información proporcionada en respuesta, actualizando así la causal prevista en la fracción V del artículo 191 de la Ley de Transparencia Y Acceso a la Información Pública del Estado de México y Municipios, precepto cuyo texto y sentido literal se encuentra inmerso con antelación. </w:t>
      </w:r>
    </w:p>
    <w:p w:rsidR="0028390B" w:rsidRDefault="0028390B" w:rsidP="00AF5C2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</w:t>
      </w:r>
      <w:r w:rsidRPr="0028390B"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dio cumplimiento a lo solicitado </w:t>
      </w:r>
      <w:r>
        <w:rPr>
          <w:rFonts w:ascii="Palatino Linotype" w:hAnsi="Palatino Linotype" w:cs="Arial"/>
          <w:lang w:val="es-MX"/>
        </w:rPr>
        <w:t xml:space="preserve">atendiendo a lo dispuesto para ello en la Ley de la materia, por lo que es que resultaba procedente que la Ponencia </w:t>
      </w:r>
      <w:proofErr w:type="spellStart"/>
      <w:r>
        <w:rPr>
          <w:rFonts w:ascii="Palatino Linotype" w:hAnsi="Palatino Linotype" w:cs="Arial"/>
          <w:lang w:val="es-MX"/>
        </w:rPr>
        <w:t>Resolutora</w:t>
      </w:r>
      <w:proofErr w:type="spellEnd"/>
      <w:r>
        <w:rPr>
          <w:rFonts w:ascii="Palatino Linotype" w:hAnsi="Palatino Linotype" w:cs="Arial"/>
          <w:lang w:val="es-MX"/>
        </w:rPr>
        <w:t xml:space="preserve"> analizara tanto el acto impugnado como las razones o motivos de inconformidad y determinara desechar el recurso de revisión materia del presente voto toda vez que como ya se refirió con anterioridad, </w:t>
      </w:r>
      <w:r w:rsidR="00AF5C2F">
        <w:rPr>
          <w:rFonts w:ascii="Palatino Linotype" w:hAnsi="Palatino Linotype" w:cs="Arial"/>
          <w:lang w:val="es-MX"/>
        </w:rPr>
        <w:t xml:space="preserve">el particular </w:t>
      </w:r>
      <w:r>
        <w:rPr>
          <w:rFonts w:ascii="Palatino Linotype" w:hAnsi="Palatino Linotype" w:cs="Arial"/>
          <w:lang w:val="es-MX"/>
        </w:rPr>
        <w:t xml:space="preserve">dudó de la veracidad de la información proporcionada por </w:t>
      </w:r>
      <w:r w:rsidRPr="00C64161">
        <w:rPr>
          <w:rFonts w:ascii="Palatino Linotype" w:hAnsi="Palatino Linotype" w:cs="Arial"/>
          <w:b/>
          <w:lang w:val="es-MX"/>
        </w:rPr>
        <w:t>EL SUJETO OBLIGADO</w:t>
      </w:r>
      <w:r w:rsidR="00AF5C2F">
        <w:rPr>
          <w:rFonts w:ascii="Palatino Linotype" w:hAnsi="Palatino Linotype" w:cs="Arial"/>
          <w:lang w:val="es-MX"/>
        </w:rPr>
        <w:t xml:space="preserve">. </w:t>
      </w:r>
    </w:p>
    <w:p w:rsidR="001E6EEA" w:rsidRDefault="001E6EEA" w:rsidP="00A87B8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t>Por lo anter</w:t>
      </w:r>
      <w:r w:rsidR="00A65728">
        <w:rPr>
          <w:rFonts w:ascii="Palatino Linotype" w:hAnsi="Palatino Linotype" w:cs="Arial"/>
        </w:rPr>
        <w:t xml:space="preserve">iormente expuesto, </w:t>
      </w:r>
      <w:r w:rsidR="006B746A">
        <w:rPr>
          <w:rFonts w:ascii="Palatino Linotype" w:hAnsi="Palatino Linotype" w:cs="Arial"/>
        </w:rPr>
        <w:t>l</w:t>
      </w:r>
      <w:r w:rsidR="002765E8">
        <w:rPr>
          <w:rFonts w:ascii="Palatino Linotype" w:hAnsi="Palatino Linotype" w:cs="Arial"/>
        </w:rPr>
        <w:t>a</w:t>
      </w:r>
      <w:r w:rsidR="006B746A">
        <w:rPr>
          <w:rFonts w:ascii="Palatino Linotype" w:hAnsi="Palatino Linotype" w:cs="Arial"/>
        </w:rPr>
        <w:t xml:space="preserve"> </w:t>
      </w:r>
      <w:r w:rsidR="00A65728">
        <w:rPr>
          <w:rFonts w:ascii="Palatino Linotype" w:hAnsi="Palatino Linotype" w:cs="Arial"/>
        </w:rPr>
        <w:t xml:space="preserve">que </w:t>
      </w:r>
      <w:r>
        <w:rPr>
          <w:rFonts w:ascii="Palatino Linotype" w:hAnsi="Palatino Linotype" w:cs="Arial"/>
        </w:rPr>
        <w:t>suscri</w:t>
      </w:r>
      <w:r w:rsidR="00A65728">
        <w:rPr>
          <w:rFonts w:ascii="Palatino Linotype" w:hAnsi="Palatino Linotype" w:cs="Arial"/>
        </w:rPr>
        <w:t xml:space="preserve">be emite </w:t>
      </w:r>
      <w:r w:rsidR="006B746A">
        <w:rPr>
          <w:rFonts w:ascii="Palatino Linotype" w:hAnsi="Palatino Linotype" w:cs="Arial"/>
          <w:b/>
        </w:rPr>
        <w:t xml:space="preserve">VOTO PARTICULAR </w:t>
      </w:r>
      <w:r w:rsidR="00A65728">
        <w:rPr>
          <w:rFonts w:ascii="Palatino Linotype" w:hAnsi="Palatino Linotype" w:cs="Arial"/>
        </w:rPr>
        <w:t xml:space="preserve">pues se reitera que </w:t>
      </w:r>
      <w:r>
        <w:rPr>
          <w:rFonts w:ascii="Palatino Linotype" w:hAnsi="Palatino Linotype" w:cs="Arial"/>
        </w:rPr>
        <w:t xml:space="preserve">lo procedente sería que </w:t>
      </w:r>
      <w:r w:rsidR="00A65728">
        <w:rPr>
          <w:rFonts w:ascii="Palatino Linotype" w:hAnsi="Palatino Linotype" w:cs="Arial"/>
        </w:rPr>
        <w:t xml:space="preserve">en </w:t>
      </w:r>
      <w:r>
        <w:rPr>
          <w:rFonts w:ascii="Palatino Linotype" w:hAnsi="Palatino Linotype" w:cs="Arial"/>
        </w:rPr>
        <w:t xml:space="preserve">el proyecto sometido </w:t>
      </w:r>
      <w:r w:rsidR="00FD6562">
        <w:rPr>
          <w:rFonts w:ascii="Palatino Linotype" w:hAnsi="Palatino Linotype" w:cs="Arial"/>
        </w:rPr>
        <w:t>a votación</w:t>
      </w:r>
      <w:r w:rsidR="001D08B1">
        <w:rPr>
          <w:rFonts w:ascii="Palatino Linotype" w:hAnsi="Palatino Linotype" w:cs="Arial"/>
        </w:rPr>
        <w:t xml:space="preserve"> del</w:t>
      </w:r>
      <w:r>
        <w:rPr>
          <w:rFonts w:ascii="Palatino Linotype" w:hAnsi="Palatino Linotype" w:cs="Arial"/>
        </w:rPr>
        <w:t xml:space="preserve"> Pleno se hubiera precisado la actualización de dicha hipótesis normativa </w:t>
      </w:r>
      <w:r w:rsidR="006B746A">
        <w:rPr>
          <w:rFonts w:ascii="Palatino Linotype" w:hAnsi="Palatino Linotype" w:cs="Arial"/>
          <w:lang w:eastAsia="es-MX"/>
        </w:rPr>
        <w:t>señalada en el</w:t>
      </w:r>
      <w:r>
        <w:rPr>
          <w:rFonts w:ascii="Palatino Linotype" w:hAnsi="Palatino Linotype" w:cs="Arial"/>
          <w:lang w:eastAsia="es-MX"/>
        </w:rPr>
        <w:t xml:space="preserve"> artículo 191</w:t>
      </w:r>
      <w:r w:rsidR="00AF5C2F">
        <w:rPr>
          <w:rFonts w:ascii="Palatino Linotype" w:hAnsi="Palatino Linotype" w:cs="Arial"/>
          <w:lang w:eastAsia="es-MX"/>
        </w:rPr>
        <w:t>,</w:t>
      </w:r>
      <w:r w:rsidRPr="009B7336">
        <w:rPr>
          <w:rFonts w:ascii="Palatino Linotype" w:hAnsi="Palatino Linotype" w:cs="Arial"/>
          <w:lang w:eastAsia="es-MX"/>
        </w:rPr>
        <w:t xml:space="preserve"> </w:t>
      </w:r>
      <w:r w:rsidR="00AF5C2F">
        <w:rPr>
          <w:rFonts w:ascii="Palatino Linotype" w:hAnsi="Palatino Linotype" w:cs="Arial"/>
          <w:lang w:eastAsia="es-MX"/>
        </w:rPr>
        <w:t>fracción</w:t>
      </w:r>
      <w:r>
        <w:rPr>
          <w:rFonts w:ascii="Palatino Linotype" w:hAnsi="Palatino Linotype" w:cs="Arial"/>
          <w:lang w:eastAsia="es-MX"/>
        </w:rPr>
        <w:t xml:space="preserve"> </w:t>
      </w:r>
      <w:r w:rsidR="008920A1">
        <w:rPr>
          <w:rFonts w:ascii="Palatino Linotype" w:hAnsi="Palatino Linotype" w:cs="Arial"/>
          <w:lang w:eastAsia="es-MX"/>
        </w:rPr>
        <w:t>V</w:t>
      </w:r>
      <w:r>
        <w:rPr>
          <w:rFonts w:ascii="Palatino Linotype" w:hAnsi="Palatino Linotype" w:cs="Arial"/>
          <w:lang w:eastAsia="es-MX"/>
        </w:rPr>
        <w:t xml:space="preserve"> de la Ley de la materia, </w:t>
      </w:r>
      <w:r>
        <w:rPr>
          <w:rFonts w:ascii="Palatino Linotype" w:hAnsi="Palatino Linotype"/>
        </w:rPr>
        <w:t>debiendo</w:t>
      </w:r>
      <w:r>
        <w:rPr>
          <w:rFonts w:ascii="Palatino Linotype" w:hAnsi="Palatino Linotype" w:cs="Arial"/>
          <w:lang w:eastAsia="es-MX"/>
        </w:rPr>
        <w:t xml:space="preserve"> </w:t>
      </w:r>
      <w:r w:rsidRPr="00AB15BE">
        <w:rPr>
          <w:rFonts w:ascii="Palatino Linotype" w:hAnsi="Palatino Linotype" w:cs="Arial"/>
          <w:b/>
          <w:lang w:eastAsia="es-MX"/>
        </w:rPr>
        <w:t>DESECHAR</w:t>
      </w:r>
      <w:r>
        <w:rPr>
          <w:rFonts w:ascii="Palatino Linotype" w:hAnsi="Palatino Linotype" w:cs="Arial"/>
          <w:lang w:eastAsia="es-MX"/>
        </w:rPr>
        <w:t xml:space="preserve"> el recurso de revisión al </w:t>
      </w:r>
      <w:r w:rsidR="008920A1">
        <w:rPr>
          <w:rFonts w:ascii="Palatino Linotype" w:hAnsi="Palatino Linotype" w:cs="Arial"/>
          <w:lang w:eastAsia="es-MX"/>
        </w:rPr>
        <w:t xml:space="preserve">tratarse de la impugnación de la veracidad de la información proporcionada por </w:t>
      </w:r>
      <w:r w:rsidR="008920A1" w:rsidRPr="008920A1">
        <w:rPr>
          <w:rFonts w:ascii="Palatino Linotype" w:hAnsi="Palatino Linotype" w:cs="Arial"/>
          <w:b/>
          <w:lang w:eastAsia="es-MX"/>
        </w:rPr>
        <w:t>EL SUJETO OBLIGADO</w:t>
      </w:r>
      <w:r>
        <w:rPr>
          <w:rFonts w:ascii="Palatino Linotype" w:hAnsi="Palatino Linotype" w:cs="Arial"/>
          <w:lang w:eastAsia="es-MX"/>
        </w:rPr>
        <w:t>.</w:t>
      </w:r>
    </w:p>
    <w:tbl>
      <w:tblPr>
        <w:tblW w:w="368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</w:tblGrid>
      <w:tr w:rsidR="002765E8" w:rsidRPr="001B6F4B" w:rsidTr="002765E8">
        <w:trPr>
          <w:trHeight w:val="990"/>
          <w:jc w:val="center"/>
        </w:trPr>
        <w:tc>
          <w:tcPr>
            <w:tcW w:w="3681" w:type="dxa"/>
          </w:tcPr>
          <w:p w:rsidR="008D48FC" w:rsidRDefault="008D48FC" w:rsidP="00A87B85">
            <w:pPr>
              <w:jc w:val="center"/>
              <w:rPr>
                <w:rFonts w:ascii="Palatino Linotype" w:hAnsi="Palatino Linotype" w:cs="Arial"/>
                <w:b/>
                <w:sz w:val="14"/>
              </w:rPr>
            </w:pPr>
          </w:p>
          <w:p w:rsidR="00557B4B" w:rsidRPr="00557B4B" w:rsidRDefault="00557B4B" w:rsidP="00A87B85">
            <w:pPr>
              <w:jc w:val="center"/>
              <w:rPr>
                <w:rFonts w:ascii="Palatino Linotype" w:hAnsi="Palatino Linotype" w:cs="Arial"/>
                <w:b/>
                <w:sz w:val="6"/>
              </w:rPr>
            </w:pPr>
          </w:p>
          <w:p w:rsidR="002765E8" w:rsidRDefault="002765E8" w:rsidP="00A87B85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 xml:space="preserve">EVA ABAID YAPUR </w:t>
            </w:r>
          </w:p>
          <w:p w:rsidR="002765E8" w:rsidRDefault="002765E8" w:rsidP="00557B4B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0D0D22" w:rsidRPr="00C3266A" w:rsidRDefault="000D0D22" w:rsidP="00557B4B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1E6EEA" w:rsidRPr="008D48FC" w:rsidRDefault="001E6EEA" w:rsidP="008920A1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Esta hoja corresponde al voto particular </w:t>
      </w:r>
      <w:r w:rsidR="002765E8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r</w:t>
      </w: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emitido en </w:t>
      </w:r>
      <w:r w:rsidR="006763E2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la resolución d</w:t>
      </w:r>
      <w:r w:rsidR="004C715E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el </w:t>
      </w: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recurso</w:t>
      </w:r>
      <w:r w:rsidR="004C715E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de revisión 03721</w:t>
      </w: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/INFOEM/IP/RR/201</w:t>
      </w:r>
      <w:r w:rsidR="004C715E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8</w:t>
      </w: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, aprobado el </w:t>
      </w:r>
      <w:r w:rsidR="002765E8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veintidós </w:t>
      </w:r>
      <w:r w:rsidR="00453715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de </w:t>
      </w:r>
      <w:r w:rsidR="002765E8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noviembre </w:t>
      </w:r>
      <w:r w:rsidR="00453715"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de dos mil dieciocho</w:t>
      </w: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.</w:t>
      </w:r>
    </w:p>
    <w:p w:rsidR="00C23B43" w:rsidRDefault="002765E8" w:rsidP="008920A1">
      <w:pPr>
        <w:jc w:val="both"/>
      </w:pPr>
      <w:r w:rsidRPr="008D48FC">
        <w:rPr>
          <w:rFonts w:ascii="Palatino Linotype" w:eastAsia="Calibri" w:hAnsi="Palatino Linotype" w:cs="Arial"/>
          <w:color w:val="000000" w:themeColor="text1"/>
          <w:sz w:val="18"/>
          <w:szCs w:val="20"/>
        </w:rPr>
        <w:t>YSM/IAHA</w:t>
      </w:r>
    </w:p>
    <w:sectPr w:rsidR="00C23B43" w:rsidSect="003054F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5F" w:rsidRDefault="0070755F" w:rsidP="001E6EEA">
      <w:r>
        <w:separator/>
      </w:r>
    </w:p>
  </w:endnote>
  <w:endnote w:type="continuationSeparator" w:id="0">
    <w:p w:rsidR="0070755F" w:rsidRDefault="0070755F" w:rsidP="001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FC" w:rsidRDefault="008D48F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18"/>
        <w:szCs w:val="20"/>
      </w:rPr>
    </w:pPr>
  </w:p>
  <w:p w:rsidR="008D48FC" w:rsidRDefault="008D48F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18"/>
        <w:szCs w:val="20"/>
      </w:rPr>
    </w:pPr>
  </w:p>
  <w:p w:rsidR="008D48FC" w:rsidRDefault="008D48F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18"/>
        <w:szCs w:val="20"/>
      </w:rPr>
    </w:pPr>
  </w:p>
  <w:p w:rsidR="008D48FC" w:rsidRDefault="008D48F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18"/>
        <w:szCs w:val="20"/>
      </w:rPr>
    </w:pPr>
  </w:p>
  <w:p w:rsidR="008D48FC" w:rsidRDefault="008D48FC" w:rsidP="003056D9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D0730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50BA9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50BA9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70755F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5F" w:rsidRDefault="0070755F" w:rsidP="001E6EEA">
      <w:r>
        <w:separator/>
      </w:r>
    </w:p>
  </w:footnote>
  <w:footnote w:type="continuationSeparator" w:id="0">
    <w:p w:rsidR="0070755F" w:rsidRDefault="0070755F" w:rsidP="001E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70755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D07309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3E7641AC" wp14:editId="59C246B0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631" w:rsidRDefault="0070755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BB7BD0" w:rsidRDefault="00237B0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BB7BD0" w:rsidRDefault="00237B02" w:rsidP="00BB7BD0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03721/INFOEM/IP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237B02" w:rsidRDefault="00237B0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AF5C2F" w:rsidRDefault="0070755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41.6pt;height:82.7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 &#10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70755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590"/>
    <w:multiLevelType w:val="hybridMultilevel"/>
    <w:tmpl w:val="8286F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4676"/>
    <w:multiLevelType w:val="hybridMultilevel"/>
    <w:tmpl w:val="1B54D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715B8"/>
    <w:multiLevelType w:val="hybridMultilevel"/>
    <w:tmpl w:val="C2B631B0"/>
    <w:lvl w:ilvl="0" w:tplc="6798B5B8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72" w:hanging="360"/>
      </w:pPr>
    </w:lvl>
    <w:lvl w:ilvl="2" w:tplc="040A001B" w:tentative="1">
      <w:start w:val="1"/>
      <w:numFmt w:val="lowerRoman"/>
      <w:lvlText w:val="%3."/>
      <w:lvlJc w:val="right"/>
      <w:pPr>
        <w:ind w:left="2792" w:hanging="180"/>
      </w:pPr>
    </w:lvl>
    <w:lvl w:ilvl="3" w:tplc="040A000F" w:tentative="1">
      <w:start w:val="1"/>
      <w:numFmt w:val="decimal"/>
      <w:lvlText w:val="%4."/>
      <w:lvlJc w:val="left"/>
      <w:pPr>
        <w:ind w:left="3512" w:hanging="360"/>
      </w:pPr>
    </w:lvl>
    <w:lvl w:ilvl="4" w:tplc="040A0019" w:tentative="1">
      <w:start w:val="1"/>
      <w:numFmt w:val="lowerLetter"/>
      <w:lvlText w:val="%5."/>
      <w:lvlJc w:val="left"/>
      <w:pPr>
        <w:ind w:left="4232" w:hanging="360"/>
      </w:pPr>
    </w:lvl>
    <w:lvl w:ilvl="5" w:tplc="040A001B" w:tentative="1">
      <w:start w:val="1"/>
      <w:numFmt w:val="lowerRoman"/>
      <w:lvlText w:val="%6."/>
      <w:lvlJc w:val="right"/>
      <w:pPr>
        <w:ind w:left="4952" w:hanging="180"/>
      </w:pPr>
    </w:lvl>
    <w:lvl w:ilvl="6" w:tplc="040A000F" w:tentative="1">
      <w:start w:val="1"/>
      <w:numFmt w:val="decimal"/>
      <w:lvlText w:val="%7."/>
      <w:lvlJc w:val="left"/>
      <w:pPr>
        <w:ind w:left="5672" w:hanging="360"/>
      </w:pPr>
    </w:lvl>
    <w:lvl w:ilvl="7" w:tplc="040A0019" w:tentative="1">
      <w:start w:val="1"/>
      <w:numFmt w:val="lowerLetter"/>
      <w:lvlText w:val="%8."/>
      <w:lvlJc w:val="left"/>
      <w:pPr>
        <w:ind w:left="6392" w:hanging="360"/>
      </w:pPr>
    </w:lvl>
    <w:lvl w:ilvl="8" w:tplc="0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EA"/>
    <w:rsid w:val="000D0D22"/>
    <w:rsid w:val="0012225F"/>
    <w:rsid w:val="001737E9"/>
    <w:rsid w:val="001D08B1"/>
    <w:rsid w:val="001D6C71"/>
    <w:rsid w:val="001E6EEA"/>
    <w:rsid w:val="00237B02"/>
    <w:rsid w:val="002765E8"/>
    <w:rsid w:val="0028390B"/>
    <w:rsid w:val="00284631"/>
    <w:rsid w:val="002B2DED"/>
    <w:rsid w:val="00447A29"/>
    <w:rsid w:val="00453715"/>
    <w:rsid w:val="004618CA"/>
    <w:rsid w:val="0046722A"/>
    <w:rsid w:val="004B6330"/>
    <w:rsid w:val="004C715E"/>
    <w:rsid w:val="004F71A9"/>
    <w:rsid w:val="005126A9"/>
    <w:rsid w:val="00557B4B"/>
    <w:rsid w:val="005C2928"/>
    <w:rsid w:val="006763E2"/>
    <w:rsid w:val="006B746A"/>
    <w:rsid w:val="0070755F"/>
    <w:rsid w:val="008920A1"/>
    <w:rsid w:val="008A1DF6"/>
    <w:rsid w:val="008D48FC"/>
    <w:rsid w:val="00935DFA"/>
    <w:rsid w:val="00976D27"/>
    <w:rsid w:val="00990F3E"/>
    <w:rsid w:val="009C4E0E"/>
    <w:rsid w:val="00A65728"/>
    <w:rsid w:val="00A87B85"/>
    <w:rsid w:val="00AA6FF4"/>
    <w:rsid w:val="00AF5C2F"/>
    <w:rsid w:val="00B072B6"/>
    <w:rsid w:val="00B11F45"/>
    <w:rsid w:val="00B23273"/>
    <w:rsid w:val="00B51538"/>
    <w:rsid w:val="00B55A63"/>
    <w:rsid w:val="00BB7BD0"/>
    <w:rsid w:val="00C23B43"/>
    <w:rsid w:val="00C50BA9"/>
    <w:rsid w:val="00C9714C"/>
    <w:rsid w:val="00D07309"/>
    <w:rsid w:val="00D43206"/>
    <w:rsid w:val="00E81EB2"/>
    <w:rsid w:val="00E90B11"/>
    <w:rsid w:val="00EB33F4"/>
    <w:rsid w:val="00F1765D"/>
    <w:rsid w:val="00F84411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0930129-57FC-4475-B131-CA7A713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E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E6E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E6E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6EEA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1E6EEA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1E6E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1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2018-01-15T19:21:00Z</cp:lastPrinted>
  <dcterms:created xsi:type="dcterms:W3CDTF">2018-11-26T21:52:00Z</dcterms:created>
  <dcterms:modified xsi:type="dcterms:W3CDTF">2019-02-08T18:29:00Z</dcterms:modified>
</cp:coreProperties>
</file>